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A4E" w:rsidRPr="00466A4E" w:rsidRDefault="00466A4E" w:rsidP="00FC346C">
      <w:pPr>
        <w:spacing w:after="0" w:line="240" w:lineRule="auto"/>
        <w:jc w:val="both"/>
        <w:rPr>
          <w:rFonts w:ascii="Times New Roman" w:hAnsi="Times New Roman" w:cs="Times New Roman"/>
          <w:sz w:val="28"/>
          <w:szCs w:val="28"/>
        </w:rPr>
      </w:pPr>
    </w:p>
    <w:p w:rsidR="00466A4E" w:rsidRPr="00466A4E" w:rsidRDefault="00466A4E" w:rsidP="00FC346C">
      <w:pPr>
        <w:spacing w:after="0" w:line="240" w:lineRule="auto"/>
        <w:ind w:left="3828"/>
        <w:jc w:val="both"/>
        <w:rPr>
          <w:rFonts w:ascii="Times New Roman" w:hAnsi="Times New Roman" w:cs="Times New Roman"/>
          <w:sz w:val="28"/>
          <w:szCs w:val="28"/>
        </w:rPr>
      </w:pPr>
      <w:r w:rsidRPr="00466A4E">
        <w:rPr>
          <w:rFonts w:ascii="Times New Roman" w:hAnsi="Times New Roman" w:cs="Times New Roman"/>
          <w:sz w:val="28"/>
          <w:szCs w:val="28"/>
        </w:rPr>
        <w:t>Приложение  3</w:t>
      </w:r>
    </w:p>
    <w:p w:rsidR="00466A4E" w:rsidRPr="00466A4E" w:rsidRDefault="00466A4E" w:rsidP="00FC346C">
      <w:pPr>
        <w:spacing w:after="0" w:line="240" w:lineRule="auto"/>
        <w:ind w:left="3828"/>
        <w:jc w:val="both"/>
        <w:rPr>
          <w:rFonts w:ascii="Times New Roman" w:hAnsi="Times New Roman" w:cs="Times New Roman"/>
          <w:sz w:val="28"/>
          <w:szCs w:val="28"/>
        </w:rPr>
      </w:pPr>
      <w:r w:rsidRPr="00466A4E">
        <w:rPr>
          <w:rFonts w:ascii="Times New Roman" w:hAnsi="Times New Roman" w:cs="Times New Roman"/>
          <w:sz w:val="28"/>
          <w:szCs w:val="28"/>
        </w:rPr>
        <w:t>к решению Совета депутатов</w:t>
      </w:r>
    </w:p>
    <w:p w:rsidR="00466A4E" w:rsidRPr="00466A4E" w:rsidRDefault="00466A4E" w:rsidP="00FC346C">
      <w:pPr>
        <w:spacing w:after="0" w:line="240" w:lineRule="auto"/>
        <w:ind w:left="3828"/>
        <w:jc w:val="both"/>
        <w:rPr>
          <w:rFonts w:ascii="Times New Roman" w:hAnsi="Times New Roman" w:cs="Times New Roman"/>
          <w:sz w:val="28"/>
          <w:szCs w:val="28"/>
        </w:rPr>
      </w:pPr>
      <w:r w:rsidRPr="00466A4E">
        <w:rPr>
          <w:rFonts w:ascii="Times New Roman" w:hAnsi="Times New Roman" w:cs="Times New Roman"/>
          <w:sz w:val="28"/>
          <w:szCs w:val="28"/>
        </w:rPr>
        <w:t>Репьевского сельсовета Тогучинского района</w:t>
      </w:r>
    </w:p>
    <w:p w:rsidR="00466A4E" w:rsidRPr="00466A4E" w:rsidRDefault="00466A4E" w:rsidP="00FC346C">
      <w:pPr>
        <w:spacing w:after="0" w:line="240" w:lineRule="auto"/>
        <w:ind w:left="3828"/>
        <w:jc w:val="both"/>
        <w:rPr>
          <w:rFonts w:ascii="Times New Roman" w:hAnsi="Times New Roman" w:cs="Times New Roman"/>
          <w:sz w:val="28"/>
          <w:szCs w:val="28"/>
        </w:rPr>
      </w:pPr>
      <w:r w:rsidRPr="00466A4E">
        <w:rPr>
          <w:rFonts w:ascii="Times New Roman" w:hAnsi="Times New Roman" w:cs="Times New Roman"/>
          <w:sz w:val="28"/>
          <w:szCs w:val="28"/>
        </w:rPr>
        <w:t>Новосибирской области от  13.11.2024 № 66</w:t>
      </w:r>
    </w:p>
    <w:p w:rsidR="00466A4E" w:rsidRPr="00466A4E" w:rsidRDefault="00466A4E" w:rsidP="00FC346C">
      <w:pPr>
        <w:spacing w:after="0" w:line="240" w:lineRule="auto"/>
        <w:jc w:val="both"/>
        <w:rPr>
          <w:rFonts w:ascii="Times New Roman" w:hAnsi="Times New Roman" w:cs="Times New Roman"/>
          <w:sz w:val="28"/>
          <w:szCs w:val="28"/>
        </w:rPr>
      </w:pPr>
    </w:p>
    <w:p w:rsidR="00466A4E" w:rsidRPr="00466A4E" w:rsidRDefault="00FC346C" w:rsidP="00FC346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Методика</w:t>
      </w:r>
      <w:r w:rsidR="00466A4E" w:rsidRPr="00466A4E">
        <w:rPr>
          <w:rFonts w:ascii="Times New Roman" w:hAnsi="Times New Roman" w:cs="Times New Roman"/>
          <w:sz w:val="28"/>
          <w:szCs w:val="28"/>
        </w:rPr>
        <w:t xml:space="preserve"> расчет</w:t>
      </w:r>
      <w:r>
        <w:rPr>
          <w:rFonts w:ascii="Times New Roman" w:hAnsi="Times New Roman" w:cs="Times New Roman"/>
          <w:sz w:val="28"/>
          <w:szCs w:val="28"/>
        </w:rPr>
        <w:t>а</w:t>
      </w:r>
      <w:bookmarkStart w:id="0" w:name="_GoBack"/>
      <w:bookmarkEnd w:id="0"/>
      <w:r w:rsidR="00466A4E" w:rsidRPr="00466A4E">
        <w:rPr>
          <w:rFonts w:ascii="Times New Roman" w:hAnsi="Times New Roman" w:cs="Times New Roman"/>
          <w:sz w:val="28"/>
          <w:szCs w:val="28"/>
        </w:rPr>
        <w:t xml:space="preserve"> иных межбюджетных трансфертов на финансовое обеспечение передаваемых с уровня поселений на уровень муниципальных районов Новосибирской области полномочий по осуществлению внутреннего муниципального финансового контроля</w:t>
      </w:r>
    </w:p>
    <w:p w:rsidR="00466A4E" w:rsidRPr="00466A4E" w:rsidRDefault="00466A4E" w:rsidP="00FC346C">
      <w:pPr>
        <w:spacing w:after="0" w:line="240" w:lineRule="auto"/>
        <w:jc w:val="both"/>
        <w:rPr>
          <w:rFonts w:ascii="Times New Roman" w:hAnsi="Times New Roman" w:cs="Times New Roman"/>
          <w:sz w:val="28"/>
          <w:szCs w:val="28"/>
        </w:rPr>
      </w:pPr>
    </w:p>
    <w:p w:rsidR="00466A4E" w:rsidRPr="00466A4E" w:rsidRDefault="00466A4E" w:rsidP="00FC346C">
      <w:pPr>
        <w:spacing w:after="0" w:line="240" w:lineRule="auto"/>
        <w:jc w:val="center"/>
        <w:rPr>
          <w:rFonts w:ascii="Times New Roman" w:hAnsi="Times New Roman" w:cs="Times New Roman"/>
          <w:sz w:val="28"/>
          <w:szCs w:val="28"/>
        </w:rPr>
      </w:pPr>
      <w:r w:rsidRPr="00466A4E">
        <w:rPr>
          <w:rFonts w:ascii="Times New Roman" w:hAnsi="Times New Roman" w:cs="Times New Roman"/>
          <w:sz w:val="28"/>
          <w:szCs w:val="28"/>
        </w:rPr>
        <w:t>I. Общие положения</w:t>
      </w:r>
    </w:p>
    <w:p w:rsidR="00466A4E" w:rsidRPr="00466A4E" w:rsidRDefault="00466A4E" w:rsidP="00FC346C">
      <w:pPr>
        <w:spacing w:after="0" w:line="240" w:lineRule="auto"/>
        <w:jc w:val="both"/>
        <w:rPr>
          <w:rFonts w:ascii="Times New Roman" w:hAnsi="Times New Roman" w:cs="Times New Roman"/>
          <w:sz w:val="28"/>
          <w:szCs w:val="28"/>
        </w:rPr>
      </w:pP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1. </w:t>
      </w:r>
      <w:proofErr w:type="gramStart"/>
      <w:r w:rsidRPr="00466A4E">
        <w:rPr>
          <w:rFonts w:ascii="Times New Roman" w:hAnsi="Times New Roman" w:cs="Times New Roman"/>
          <w:sz w:val="28"/>
          <w:szCs w:val="28"/>
        </w:rPr>
        <w:t>В соответствии со статьей 265 Бюджетного кодекса Российской Федерации (далее – БК РФ)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обуславливающих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государственных (муниципальных) контрактов, договоров (соглашений) о предоставлении средств из бюджета.</w:t>
      </w:r>
      <w:proofErr w:type="gramEnd"/>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Муниципальный финансовый контроль подразделяется </w:t>
      </w:r>
      <w:proofErr w:type="gramStart"/>
      <w:r w:rsidRPr="00466A4E">
        <w:rPr>
          <w:rFonts w:ascii="Times New Roman" w:hAnsi="Times New Roman" w:cs="Times New Roman"/>
          <w:sz w:val="28"/>
          <w:szCs w:val="28"/>
        </w:rPr>
        <w:t>на</w:t>
      </w:r>
      <w:proofErr w:type="gramEnd"/>
      <w:r w:rsidRPr="00466A4E">
        <w:rPr>
          <w:rFonts w:ascii="Times New Roman" w:hAnsi="Times New Roman" w:cs="Times New Roman"/>
          <w:sz w:val="28"/>
          <w:szCs w:val="28"/>
        </w:rPr>
        <w:t xml:space="preserve"> внешний и внутренний, предварительный и последующий.</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Под внутренним муниципальным финансовым контролем (далее – ВМФК) понимается контрольная деятельность органов муниципального финансового контроля, являющихся органами местных администраций (далее – органы ВМФК).</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В соответствии со статей 269.2 БК РФ, полномочиями органов ВМФК по осуществлению ВМФК являются:</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 </w:t>
      </w:r>
      <w:proofErr w:type="gramStart"/>
      <w:r w:rsidRPr="00466A4E">
        <w:rPr>
          <w:rFonts w:ascii="Times New Roman" w:hAnsi="Times New Roman" w:cs="Times New Roman"/>
          <w:sz w:val="28"/>
          <w:szCs w:val="28"/>
        </w:rPr>
        <w:t>контроль за</w:t>
      </w:r>
      <w:proofErr w:type="gramEnd"/>
      <w:r w:rsidRPr="00466A4E">
        <w:rPr>
          <w:rFonts w:ascii="Times New Roman" w:hAnsi="Times New Roman" w:cs="Times New Roman"/>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gramStart"/>
      <w:r w:rsidRPr="00466A4E">
        <w:rPr>
          <w:rFonts w:ascii="Times New Roman" w:hAnsi="Times New Roman" w:cs="Times New Roman"/>
          <w:sz w:val="28"/>
          <w:szCs w:val="28"/>
        </w:rPr>
        <w:t>-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формирование доходов и осуществление расходов бюджетов бюджетной системы Российской Федерации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соответствующего бюджета, муниципальных контрактов;</w:t>
      </w:r>
      <w:proofErr w:type="gramEnd"/>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 </w:t>
      </w:r>
      <w:proofErr w:type="gramStart"/>
      <w:r w:rsidRPr="00466A4E">
        <w:rPr>
          <w:rFonts w:ascii="Times New Roman" w:hAnsi="Times New Roman" w:cs="Times New Roman"/>
          <w:sz w:val="28"/>
          <w:szCs w:val="28"/>
        </w:rPr>
        <w:t>контроль за</w:t>
      </w:r>
      <w:proofErr w:type="gramEnd"/>
      <w:r w:rsidRPr="00466A4E">
        <w:rPr>
          <w:rFonts w:ascii="Times New Roman" w:hAnsi="Times New Roman" w:cs="Times New Roman"/>
          <w:sz w:val="28"/>
          <w:szCs w:val="28"/>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БК РФ, условий </w:t>
      </w:r>
      <w:r w:rsidRPr="00466A4E">
        <w:rPr>
          <w:rFonts w:ascii="Times New Roman" w:hAnsi="Times New Roman" w:cs="Times New Roman"/>
          <w:sz w:val="28"/>
          <w:szCs w:val="28"/>
        </w:rPr>
        <w:lastRenderedPageBreak/>
        <w:t>договоров (соглашений), заключенных в целях исполнения муниципальных контрактов;</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466A4E">
        <w:rPr>
          <w:rFonts w:ascii="Times New Roman" w:hAnsi="Times New Roman" w:cs="Times New Roman"/>
          <w:sz w:val="28"/>
          <w:szCs w:val="28"/>
        </w:rPr>
        <w:t>значений показателей результативности предоставления средств</w:t>
      </w:r>
      <w:proofErr w:type="gramEnd"/>
      <w:r w:rsidRPr="00466A4E">
        <w:rPr>
          <w:rFonts w:ascii="Times New Roman" w:hAnsi="Times New Roman" w:cs="Times New Roman"/>
          <w:sz w:val="28"/>
          <w:szCs w:val="28"/>
        </w:rPr>
        <w:t xml:space="preserve"> из бюджета;</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gramStart"/>
      <w:r w:rsidRPr="00466A4E">
        <w:rPr>
          <w:rFonts w:ascii="Times New Roman" w:hAnsi="Times New Roman" w:cs="Times New Roman"/>
          <w:sz w:val="28"/>
          <w:szCs w:val="28"/>
        </w:rPr>
        <w:t>При осуществлении полномочий по ВМФК органами ВМФК проводятся проверки, ревизии и обследования, направляются объектам контроля акты, заключения, представления и (или) предписания, направляются финансовым органам уведомления о применении бюджетных мер принуждения, осуществляется производство по делам об административных правонарушениях, назначается (организуется) проведение экспертиз, необходимых для проведения проверок, ревизий и обследований, получается необходимый для осуществления ВМФК постоянный доступ к муниципальным информационным системам в</w:t>
      </w:r>
      <w:proofErr w:type="gramEnd"/>
      <w:r w:rsidRPr="00466A4E">
        <w:rPr>
          <w:rFonts w:ascii="Times New Roman" w:hAnsi="Times New Roman" w:cs="Times New Roman"/>
          <w:sz w:val="28"/>
          <w:szCs w:val="28"/>
        </w:rPr>
        <w:t xml:space="preserve"> </w:t>
      </w:r>
      <w:proofErr w:type="gramStart"/>
      <w:r w:rsidRPr="00466A4E">
        <w:rPr>
          <w:rFonts w:ascii="Times New Roman" w:hAnsi="Times New Roman" w:cs="Times New Roman"/>
          <w:sz w:val="28"/>
          <w:szCs w:val="28"/>
        </w:rPr>
        <w:t>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 направляются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roofErr w:type="gramEnd"/>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ВМФК осуществляется в соответствии с федеральными стандартами, утвержденными нормативными правовыми актами Правительства РФ (п. 3 ст. 269.2 БК РФ) (постановления по состоянию на 24.05.2024 приведены в приложении). </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2. Настоящие рекомендации по расчету иных межбюджетных трансфертов на финансовое обеспечение передаваемых полномочий по осуществлению ВМФК (далее соответственно – рекомендации, ИМБТ) подготовлены в целях осуществления передачи бюджетных полномочий по ВМФК с уровня поселений на уровень муниципальных районов Новосибирской области. </w:t>
      </w:r>
    </w:p>
    <w:p w:rsidR="00466A4E" w:rsidRPr="00466A4E" w:rsidRDefault="00466A4E" w:rsidP="00FC346C">
      <w:pPr>
        <w:spacing w:after="0" w:line="240" w:lineRule="auto"/>
        <w:ind w:firstLine="851"/>
        <w:jc w:val="both"/>
        <w:rPr>
          <w:rFonts w:ascii="Times New Roman" w:hAnsi="Times New Roman" w:cs="Times New Roman"/>
          <w:sz w:val="28"/>
          <w:szCs w:val="28"/>
        </w:rPr>
      </w:pP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II. Осуществление передачи бюджетных полномочий по внутреннему муниципальному финансовому контролю с уровня поселений на уровень муниципальных районов Новосибирской области</w:t>
      </w:r>
    </w:p>
    <w:p w:rsidR="00466A4E" w:rsidRPr="00466A4E" w:rsidRDefault="00466A4E" w:rsidP="00FC346C">
      <w:pPr>
        <w:spacing w:after="0" w:line="240" w:lineRule="auto"/>
        <w:ind w:firstLine="851"/>
        <w:jc w:val="both"/>
        <w:rPr>
          <w:rFonts w:ascii="Times New Roman" w:hAnsi="Times New Roman" w:cs="Times New Roman"/>
          <w:sz w:val="28"/>
          <w:szCs w:val="28"/>
        </w:rPr>
      </w:pP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3. Для передачи полномочий по ВМФК с уровня поселений на уровень муниципальных районов Новосибирской области необходимо следующее:</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lastRenderedPageBreak/>
        <w:t>3.1. Расчет дополнительных штатных единиц для осуществления ВМФК при передаче полномочий от поселений на уровень муниципального района.</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3.2. Расчет ИМБТ на финансовое обеспечение передаваемых полномочий по осуществлению ВМФК, единый для применения всеми муниципальными образованиями. </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3.3. Обязательный пакет документов, необходимый для передачи полномочий по осуществлению ВМФК с уровня поселений на уровень муниципального района включает:</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Соглашение о передаче полномочий по осуществлению ВМФК (разработано Контрольным управлением Новосибирской области и доведено до муниципальных образований в 2022 году);</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Решение Совета депутатов поселения о передаче полномочий по осуществлению ВМФК;</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 Решение Совета депутатов муниципального района о принятии полномочий по осуществлению ВМФК; </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 Порядок предоставления ИМБТ на осуществление полномочий по ВМФК с Методикой расчета ИМБТ на финансовое обеспечение передаваемых полномочий по осуществлению ВМФК, устанавливаемый каждым поселением; </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Дополнительно самостоятельное рассмотрение администрациями районов и поселений вопроса о необходимости внесения соответствующих изменений в Уставы муниципальных районов и поселений.</w:t>
      </w:r>
    </w:p>
    <w:p w:rsidR="00466A4E" w:rsidRPr="00466A4E" w:rsidRDefault="00466A4E" w:rsidP="00FC346C">
      <w:pPr>
        <w:spacing w:after="0" w:line="240" w:lineRule="auto"/>
        <w:ind w:firstLine="851"/>
        <w:jc w:val="both"/>
        <w:rPr>
          <w:rFonts w:ascii="Times New Roman" w:hAnsi="Times New Roman" w:cs="Times New Roman"/>
          <w:sz w:val="28"/>
          <w:szCs w:val="28"/>
        </w:rPr>
      </w:pP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4. В целях определения необходимого количества штатных единиц для осуществления ВМФК при передаче полномочий от поселений на уровень муниципального района используется следующая формула:</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r w:rsidRPr="00466A4E">
        <w:rPr>
          <w:rFonts w:ascii="Times New Roman" w:hAnsi="Times New Roman" w:cs="Times New Roman"/>
          <w:sz w:val="28"/>
          <w:szCs w:val="28"/>
        </w:rPr>
        <w:t>Ешт</w:t>
      </w:r>
      <w:proofErr w:type="spellEnd"/>
      <w:r w:rsidRPr="00466A4E">
        <w:rPr>
          <w:rFonts w:ascii="Times New Roman" w:hAnsi="Times New Roman" w:cs="Times New Roman"/>
          <w:sz w:val="28"/>
          <w:szCs w:val="28"/>
        </w:rPr>
        <w:t xml:space="preserve"> = </w:t>
      </w:r>
      <w:proofErr w:type="spellStart"/>
      <w:r w:rsidRPr="00466A4E">
        <w:rPr>
          <w:rFonts w:ascii="Times New Roman" w:hAnsi="Times New Roman" w:cs="Times New Roman"/>
          <w:sz w:val="28"/>
          <w:szCs w:val="28"/>
        </w:rPr>
        <w:t>ОКвмфк</w:t>
      </w:r>
      <w:proofErr w:type="spellEnd"/>
      <w:r w:rsidRPr="00466A4E">
        <w:rPr>
          <w:rFonts w:ascii="Times New Roman" w:hAnsi="Times New Roman" w:cs="Times New Roman"/>
          <w:sz w:val="28"/>
          <w:szCs w:val="28"/>
        </w:rPr>
        <w:t xml:space="preserve"> * К</w:t>
      </w:r>
      <w:proofErr w:type="gramStart"/>
      <w:r w:rsidRPr="00466A4E">
        <w:rPr>
          <w:rFonts w:ascii="Times New Roman" w:hAnsi="Times New Roman" w:cs="Times New Roman"/>
          <w:sz w:val="28"/>
          <w:szCs w:val="28"/>
        </w:rPr>
        <w:t>0</w:t>
      </w:r>
      <w:proofErr w:type="gramEnd"/>
      <w:r w:rsidRPr="00466A4E">
        <w:rPr>
          <w:rFonts w:ascii="Times New Roman" w:hAnsi="Times New Roman" w:cs="Times New Roman"/>
          <w:sz w:val="28"/>
          <w:szCs w:val="28"/>
        </w:rPr>
        <w:t>,33 / К7,8,</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где:</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r w:rsidRPr="00466A4E">
        <w:rPr>
          <w:rFonts w:ascii="Times New Roman" w:hAnsi="Times New Roman" w:cs="Times New Roman"/>
          <w:sz w:val="28"/>
          <w:szCs w:val="28"/>
        </w:rPr>
        <w:t>ОКвмфк</w:t>
      </w:r>
      <w:proofErr w:type="spellEnd"/>
      <w:r w:rsidRPr="00466A4E">
        <w:rPr>
          <w:rFonts w:ascii="Times New Roman" w:hAnsi="Times New Roman" w:cs="Times New Roman"/>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во всех поселениях, находящихся на территории муниципального района Новосибирской области, в рамках полномочий по ВМФК;</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К</w:t>
      </w:r>
      <w:proofErr w:type="gramStart"/>
      <w:r w:rsidRPr="00466A4E">
        <w:rPr>
          <w:rFonts w:ascii="Times New Roman" w:hAnsi="Times New Roman" w:cs="Times New Roman"/>
          <w:sz w:val="28"/>
          <w:szCs w:val="28"/>
        </w:rPr>
        <w:t>0</w:t>
      </w:r>
      <w:proofErr w:type="gramEnd"/>
      <w:r w:rsidRPr="00466A4E">
        <w:rPr>
          <w:rFonts w:ascii="Times New Roman" w:hAnsi="Times New Roman" w:cs="Times New Roman"/>
          <w:sz w:val="28"/>
          <w:szCs w:val="28"/>
        </w:rPr>
        <w:t>,33 – коэффициент равный 0,33, соответствующей общему правилу периодичности проведения контрольных мероприятий, применяемый для полного минимального охвата объектов контроля;</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К</w:t>
      </w:r>
      <w:proofErr w:type="gramStart"/>
      <w:r w:rsidRPr="00466A4E">
        <w:rPr>
          <w:rFonts w:ascii="Times New Roman" w:hAnsi="Times New Roman" w:cs="Times New Roman"/>
          <w:sz w:val="28"/>
          <w:szCs w:val="28"/>
        </w:rPr>
        <w:t>7</w:t>
      </w:r>
      <w:proofErr w:type="gramEnd"/>
      <w:r w:rsidRPr="00466A4E">
        <w:rPr>
          <w:rFonts w:ascii="Times New Roman" w:hAnsi="Times New Roman" w:cs="Times New Roman"/>
          <w:sz w:val="28"/>
          <w:szCs w:val="28"/>
        </w:rPr>
        <w:t>,8 – коэффициент равный 7,8, характеризующий нагрузку на 1 кадровую единицу ОМСУ, исходя из полной занятости и среднего количества контрольных мероприятий, которые может провести сотрудник в год.</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Результаты расчета, полученные после применения формулы расчета </w:t>
      </w:r>
      <w:proofErr w:type="spellStart"/>
      <w:r w:rsidRPr="00466A4E">
        <w:rPr>
          <w:rFonts w:ascii="Times New Roman" w:hAnsi="Times New Roman" w:cs="Times New Roman"/>
          <w:sz w:val="28"/>
          <w:szCs w:val="28"/>
        </w:rPr>
        <w:t>Ешт</w:t>
      </w:r>
      <w:proofErr w:type="spellEnd"/>
      <w:r w:rsidRPr="00466A4E">
        <w:rPr>
          <w:rFonts w:ascii="Times New Roman" w:hAnsi="Times New Roman" w:cs="Times New Roman"/>
          <w:sz w:val="28"/>
          <w:szCs w:val="28"/>
        </w:rPr>
        <w:t xml:space="preserve">, необходимо округлять в большую сторону (например, если по формуле </w:t>
      </w:r>
      <w:proofErr w:type="spellStart"/>
      <w:r w:rsidRPr="00466A4E">
        <w:rPr>
          <w:rFonts w:ascii="Times New Roman" w:hAnsi="Times New Roman" w:cs="Times New Roman"/>
          <w:sz w:val="28"/>
          <w:szCs w:val="28"/>
        </w:rPr>
        <w:t>Ешт</w:t>
      </w:r>
      <w:proofErr w:type="spellEnd"/>
      <w:r w:rsidRPr="00466A4E">
        <w:rPr>
          <w:rFonts w:ascii="Times New Roman" w:hAnsi="Times New Roman" w:cs="Times New Roman"/>
          <w:sz w:val="28"/>
          <w:szCs w:val="28"/>
        </w:rPr>
        <w:t xml:space="preserve"> выходит 1,4 штатных единицы, то следует учитывать 2 штатных единицы), ввиду расчета с учетом минимального охвата объектов контроля </w:t>
      </w:r>
      <w:r w:rsidRPr="00466A4E">
        <w:rPr>
          <w:rFonts w:ascii="Times New Roman" w:hAnsi="Times New Roman" w:cs="Times New Roman"/>
          <w:sz w:val="28"/>
          <w:szCs w:val="28"/>
        </w:rPr>
        <w:lastRenderedPageBreak/>
        <w:t>во всех поселениях, без учета возможной дополнительной нагрузки на специалистов.</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Таким образом, в результате расчета и округления значения </w:t>
      </w:r>
      <w:proofErr w:type="spellStart"/>
      <w:r w:rsidRPr="00466A4E">
        <w:rPr>
          <w:rFonts w:ascii="Times New Roman" w:hAnsi="Times New Roman" w:cs="Times New Roman"/>
          <w:sz w:val="28"/>
          <w:szCs w:val="28"/>
        </w:rPr>
        <w:t>Ешт</w:t>
      </w:r>
      <w:proofErr w:type="spellEnd"/>
      <w:r w:rsidRPr="00466A4E">
        <w:rPr>
          <w:rFonts w:ascii="Times New Roman" w:hAnsi="Times New Roman" w:cs="Times New Roman"/>
          <w:sz w:val="28"/>
          <w:szCs w:val="28"/>
        </w:rPr>
        <w:t xml:space="preserve"> получается суммарное по всем поселениям, находящимся на территории муниципального района, необходимое количество штатных единиц для осуществления ВМФК, используемое для дальнейшего расчета ИМБТ на финансовое обеспечение передаваемых на уровень муниципального района полномочий. </w:t>
      </w:r>
    </w:p>
    <w:p w:rsidR="00466A4E" w:rsidRPr="00466A4E" w:rsidRDefault="00466A4E" w:rsidP="00FC346C">
      <w:pPr>
        <w:spacing w:after="0" w:line="240" w:lineRule="auto"/>
        <w:ind w:firstLine="851"/>
        <w:jc w:val="both"/>
        <w:rPr>
          <w:rFonts w:ascii="Times New Roman" w:hAnsi="Times New Roman" w:cs="Times New Roman"/>
          <w:sz w:val="28"/>
          <w:szCs w:val="28"/>
        </w:rPr>
      </w:pP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5. В качестве формулы расчета ИМБТ на финансовое обеспечение передаваемых полномочий по осуществлению ВМФК используется следующая формула:</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proofErr w:type="gramStart"/>
      <w:r w:rsidRPr="00466A4E">
        <w:rPr>
          <w:rFonts w:ascii="Times New Roman" w:hAnsi="Times New Roman" w:cs="Times New Roman"/>
          <w:sz w:val="28"/>
          <w:szCs w:val="28"/>
        </w:rPr>
        <w:t>V</w:t>
      </w:r>
      <w:proofErr w:type="gramEnd"/>
      <w:r w:rsidRPr="00466A4E">
        <w:rPr>
          <w:rFonts w:ascii="Times New Roman" w:hAnsi="Times New Roman" w:cs="Times New Roman"/>
          <w:sz w:val="28"/>
          <w:szCs w:val="28"/>
        </w:rPr>
        <w:t>имбт</w:t>
      </w:r>
      <w:proofErr w:type="spellEnd"/>
      <w:r w:rsidRPr="00466A4E">
        <w:rPr>
          <w:rFonts w:ascii="Times New Roman" w:hAnsi="Times New Roman" w:cs="Times New Roman"/>
          <w:sz w:val="28"/>
          <w:szCs w:val="28"/>
        </w:rPr>
        <w:t xml:space="preserve"> = </w:t>
      </w:r>
      <w:proofErr w:type="spellStart"/>
      <w:r w:rsidRPr="00466A4E">
        <w:rPr>
          <w:rFonts w:ascii="Times New Roman" w:hAnsi="Times New Roman" w:cs="Times New Roman"/>
          <w:sz w:val="28"/>
          <w:szCs w:val="28"/>
        </w:rPr>
        <w:t>Vфо</w:t>
      </w:r>
      <w:proofErr w:type="spellEnd"/>
      <w:r w:rsidRPr="00466A4E">
        <w:rPr>
          <w:rFonts w:ascii="Times New Roman" w:hAnsi="Times New Roman" w:cs="Times New Roman"/>
          <w:sz w:val="28"/>
          <w:szCs w:val="28"/>
        </w:rPr>
        <w:t xml:space="preserve"> / </w:t>
      </w:r>
      <w:proofErr w:type="spellStart"/>
      <w:r w:rsidRPr="00466A4E">
        <w:rPr>
          <w:rFonts w:ascii="Times New Roman" w:hAnsi="Times New Roman" w:cs="Times New Roman"/>
          <w:sz w:val="28"/>
          <w:szCs w:val="28"/>
        </w:rPr>
        <w:t>ОКвмфк</w:t>
      </w:r>
      <w:proofErr w:type="spellEnd"/>
      <w:r w:rsidRPr="00466A4E">
        <w:rPr>
          <w:rFonts w:ascii="Times New Roman" w:hAnsi="Times New Roman" w:cs="Times New Roman"/>
          <w:sz w:val="28"/>
          <w:szCs w:val="28"/>
        </w:rPr>
        <w:t xml:space="preserve"> * </w:t>
      </w:r>
      <w:proofErr w:type="spellStart"/>
      <w:r w:rsidRPr="00466A4E">
        <w:rPr>
          <w:rFonts w:ascii="Times New Roman" w:hAnsi="Times New Roman" w:cs="Times New Roman"/>
          <w:sz w:val="28"/>
          <w:szCs w:val="28"/>
        </w:rPr>
        <w:t>ОКпос</w:t>
      </w:r>
      <w:proofErr w:type="spellEnd"/>
      <w:r w:rsidRPr="00466A4E">
        <w:rPr>
          <w:rFonts w:ascii="Times New Roman" w:hAnsi="Times New Roman" w:cs="Times New Roman"/>
          <w:sz w:val="28"/>
          <w:szCs w:val="28"/>
        </w:rPr>
        <w:t xml:space="preserve"> * </w:t>
      </w:r>
      <w:proofErr w:type="spellStart"/>
      <w:r w:rsidRPr="00466A4E">
        <w:rPr>
          <w:rFonts w:ascii="Times New Roman" w:hAnsi="Times New Roman" w:cs="Times New Roman"/>
          <w:sz w:val="28"/>
          <w:szCs w:val="28"/>
        </w:rPr>
        <w:t>Кпз</w:t>
      </w:r>
      <w:proofErr w:type="spellEnd"/>
      <w:r w:rsidRPr="00466A4E">
        <w:rPr>
          <w:rFonts w:ascii="Times New Roman" w:hAnsi="Times New Roman" w:cs="Times New Roman"/>
          <w:sz w:val="28"/>
          <w:szCs w:val="28"/>
        </w:rPr>
        <w:t>,</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где:</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proofErr w:type="gramStart"/>
      <w:r w:rsidRPr="00466A4E">
        <w:rPr>
          <w:rFonts w:ascii="Times New Roman" w:hAnsi="Times New Roman" w:cs="Times New Roman"/>
          <w:sz w:val="28"/>
          <w:szCs w:val="28"/>
        </w:rPr>
        <w:t>V</w:t>
      </w:r>
      <w:proofErr w:type="gramEnd"/>
      <w:r w:rsidRPr="00466A4E">
        <w:rPr>
          <w:rFonts w:ascii="Times New Roman" w:hAnsi="Times New Roman" w:cs="Times New Roman"/>
          <w:sz w:val="28"/>
          <w:szCs w:val="28"/>
        </w:rPr>
        <w:t>имбт</w:t>
      </w:r>
      <w:proofErr w:type="spellEnd"/>
      <w:r w:rsidRPr="00466A4E">
        <w:rPr>
          <w:rFonts w:ascii="Times New Roman" w:hAnsi="Times New Roman" w:cs="Times New Roman"/>
          <w:sz w:val="28"/>
          <w:szCs w:val="28"/>
        </w:rPr>
        <w:t xml:space="preserve"> – объем ИМБТ на финансовое обеспечение передаваемых полномочий по осуществлению ВМФК;</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proofErr w:type="gramStart"/>
      <w:r w:rsidRPr="00466A4E">
        <w:rPr>
          <w:rFonts w:ascii="Times New Roman" w:hAnsi="Times New Roman" w:cs="Times New Roman"/>
          <w:sz w:val="28"/>
          <w:szCs w:val="28"/>
        </w:rPr>
        <w:t>V</w:t>
      </w:r>
      <w:proofErr w:type="gramEnd"/>
      <w:r w:rsidRPr="00466A4E">
        <w:rPr>
          <w:rFonts w:ascii="Times New Roman" w:hAnsi="Times New Roman" w:cs="Times New Roman"/>
          <w:sz w:val="28"/>
          <w:szCs w:val="28"/>
        </w:rPr>
        <w:t>фо</w:t>
      </w:r>
      <w:proofErr w:type="spellEnd"/>
      <w:r w:rsidRPr="00466A4E">
        <w:rPr>
          <w:rFonts w:ascii="Times New Roman" w:hAnsi="Times New Roman" w:cs="Times New Roman"/>
          <w:sz w:val="28"/>
          <w:szCs w:val="28"/>
        </w:rPr>
        <w:t xml:space="preserve"> – объем финансового обеспечения, который рассчитывается по формуле:</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proofErr w:type="gramStart"/>
      <w:r w:rsidRPr="00466A4E">
        <w:rPr>
          <w:rFonts w:ascii="Times New Roman" w:hAnsi="Times New Roman" w:cs="Times New Roman"/>
          <w:sz w:val="28"/>
          <w:szCs w:val="28"/>
        </w:rPr>
        <w:t>V</w:t>
      </w:r>
      <w:proofErr w:type="gramEnd"/>
      <w:r w:rsidRPr="00466A4E">
        <w:rPr>
          <w:rFonts w:ascii="Times New Roman" w:hAnsi="Times New Roman" w:cs="Times New Roman"/>
          <w:sz w:val="28"/>
          <w:szCs w:val="28"/>
        </w:rPr>
        <w:t>фо</w:t>
      </w:r>
      <w:proofErr w:type="spellEnd"/>
      <w:r w:rsidRPr="00466A4E">
        <w:rPr>
          <w:rFonts w:ascii="Times New Roman" w:hAnsi="Times New Roman" w:cs="Times New Roman"/>
          <w:sz w:val="28"/>
          <w:szCs w:val="28"/>
        </w:rPr>
        <w:t xml:space="preserve"> = </w:t>
      </w:r>
      <w:proofErr w:type="spellStart"/>
      <w:r w:rsidRPr="00466A4E">
        <w:rPr>
          <w:rFonts w:ascii="Times New Roman" w:hAnsi="Times New Roman" w:cs="Times New Roman"/>
          <w:sz w:val="28"/>
          <w:szCs w:val="28"/>
        </w:rPr>
        <w:t>Vфот</w:t>
      </w:r>
      <w:proofErr w:type="spellEnd"/>
      <w:r w:rsidRPr="00466A4E">
        <w:rPr>
          <w:rFonts w:ascii="Times New Roman" w:hAnsi="Times New Roman" w:cs="Times New Roman"/>
          <w:sz w:val="28"/>
          <w:szCs w:val="28"/>
        </w:rPr>
        <w:t xml:space="preserve"> * </w:t>
      </w:r>
      <w:proofErr w:type="spellStart"/>
      <w:r w:rsidRPr="00466A4E">
        <w:rPr>
          <w:rFonts w:ascii="Times New Roman" w:hAnsi="Times New Roman" w:cs="Times New Roman"/>
          <w:sz w:val="28"/>
          <w:szCs w:val="28"/>
        </w:rPr>
        <w:t>Ешт</w:t>
      </w:r>
      <w:proofErr w:type="spellEnd"/>
      <w:r w:rsidRPr="00466A4E">
        <w:rPr>
          <w:rFonts w:ascii="Times New Roman" w:hAnsi="Times New Roman" w:cs="Times New Roman"/>
          <w:sz w:val="28"/>
          <w:szCs w:val="28"/>
        </w:rPr>
        <w:t xml:space="preserve">, </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где:</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proofErr w:type="gramStart"/>
      <w:r w:rsidRPr="00466A4E">
        <w:rPr>
          <w:rFonts w:ascii="Times New Roman" w:hAnsi="Times New Roman" w:cs="Times New Roman"/>
          <w:sz w:val="28"/>
          <w:szCs w:val="28"/>
        </w:rPr>
        <w:t>V</w:t>
      </w:r>
      <w:proofErr w:type="gramEnd"/>
      <w:r w:rsidRPr="00466A4E">
        <w:rPr>
          <w:rFonts w:ascii="Times New Roman" w:hAnsi="Times New Roman" w:cs="Times New Roman"/>
          <w:sz w:val="28"/>
          <w:szCs w:val="28"/>
        </w:rPr>
        <w:t>фот</w:t>
      </w:r>
      <w:proofErr w:type="spellEnd"/>
      <w:r w:rsidRPr="00466A4E">
        <w:rPr>
          <w:rFonts w:ascii="Times New Roman" w:hAnsi="Times New Roman" w:cs="Times New Roman"/>
          <w:sz w:val="28"/>
          <w:szCs w:val="28"/>
        </w:rPr>
        <w:t xml:space="preserve"> – фонд оплаты труда на 1 штатную единицу (для расчета применяется штатная единица «Главный специалист»). Годовой фонд оплаты труда по должности «Главный специалист» в администрации муниципального района составляет 677 349,2 рублей (общий объем ФОТ вместе с отчислениями НДФЛ, страховыми взносами);</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r w:rsidRPr="00466A4E">
        <w:rPr>
          <w:rFonts w:ascii="Times New Roman" w:hAnsi="Times New Roman" w:cs="Times New Roman"/>
          <w:sz w:val="28"/>
          <w:szCs w:val="28"/>
        </w:rPr>
        <w:t>Ешт</w:t>
      </w:r>
      <w:proofErr w:type="spellEnd"/>
      <w:r w:rsidRPr="00466A4E">
        <w:rPr>
          <w:rFonts w:ascii="Times New Roman" w:hAnsi="Times New Roman" w:cs="Times New Roman"/>
          <w:sz w:val="28"/>
          <w:szCs w:val="28"/>
        </w:rPr>
        <w:t xml:space="preserve"> – необходимое количество штатных единиц для осуществления ВМФК (рассчитанное и округленное согласно п. 4 настоящих рекомендаций);</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r w:rsidRPr="00466A4E">
        <w:rPr>
          <w:rFonts w:ascii="Times New Roman" w:hAnsi="Times New Roman" w:cs="Times New Roman"/>
          <w:sz w:val="28"/>
          <w:szCs w:val="28"/>
        </w:rPr>
        <w:t>ОКвмфк</w:t>
      </w:r>
      <w:proofErr w:type="spellEnd"/>
      <w:r w:rsidRPr="00466A4E">
        <w:rPr>
          <w:rFonts w:ascii="Times New Roman" w:hAnsi="Times New Roman" w:cs="Times New Roman"/>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во всех поселениях, находящихся на территории муниципального района Новосибирской области, в рамках полномочий по ВМФК;</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r w:rsidRPr="00466A4E">
        <w:rPr>
          <w:rFonts w:ascii="Times New Roman" w:hAnsi="Times New Roman" w:cs="Times New Roman"/>
          <w:sz w:val="28"/>
          <w:szCs w:val="28"/>
        </w:rPr>
        <w:t>ОКпос</w:t>
      </w:r>
      <w:proofErr w:type="spellEnd"/>
      <w:r w:rsidRPr="00466A4E">
        <w:rPr>
          <w:rFonts w:ascii="Times New Roman" w:hAnsi="Times New Roman" w:cs="Times New Roman"/>
          <w:sz w:val="28"/>
          <w:szCs w:val="28"/>
        </w:rPr>
        <w:t xml:space="preserve"> – количество объектов контроля (бюджетные, автономные и казенные учреждения, муниципальные унитарные предприятия, администрации) в рамках полномочий по ВМФК отдельно взятого поселения, которые будут переданы на уровень муниципального района;</w:t>
      </w:r>
    </w:p>
    <w:p w:rsidR="00466A4E" w:rsidRPr="00466A4E" w:rsidRDefault="00466A4E" w:rsidP="00FC346C">
      <w:pPr>
        <w:spacing w:after="0" w:line="240" w:lineRule="auto"/>
        <w:ind w:firstLine="851"/>
        <w:jc w:val="both"/>
        <w:rPr>
          <w:rFonts w:ascii="Times New Roman" w:hAnsi="Times New Roman" w:cs="Times New Roman"/>
          <w:sz w:val="28"/>
          <w:szCs w:val="28"/>
        </w:rPr>
      </w:pPr>
      <w:proofErr w:type="spellStart"/>
      <w:r w:rsidRPr="00466A4E">
        <w:rPr>
          <w:rFonts w:ascii="Times New Roman" w:hAnsi="Times New Roman" w:cs="Times New Roman"/>
          <w:sz w:val="28"/>
          <w:szCs w:val="28"/>
        </w:rPr>
        <w:t>Кпз</w:t>
      </w:r>
      <w:proofErr w:type="spellEnd"/>
      <w:r w:rsidRPr="00466A4E">
        <w:rPr>
          <w:rFonts w:ascii="Times New Roman" w:hAnsi="Times New Roman" w:cs="Times New Roman"/>
          <w:sz w:val="28"/>
          <w:szCs w:val="28"/>
        </w:rPr>
        <w:t xml:space="preserve"> – коэффициент прочих затрат на материально-техническое обеспечение (условная единица, 5%, 10% или, соответственно, 1,05; 1,1, устанавливаемая поселениями в Порядке предоставления ИМБТ (Методике расчета ИМБТ)).</w:t>
      </w:r>
    </w:p>
    <w:p w:rsidR="00466A4E" w:rsidRPr="00466A4E" w:rsidRDefault="00466A4E" w:rsidP="00FC346C">
      <w:pPr>
        <w:spacing w:after="0" w:line="240" w:lineRule="auto"/>
        <w:ind w:firstLine="851"/>
        <w:jc w:val="both"/>
        <w:rPr>
          <w:rFonts w:ascii="Times New Roman" w:hAnsi="Times New Roman" w:cs="Times New Roman"/>
          <w:sz w:val="28"/>
          <w:szCs w:val="28"/>
        </w:rPr>
      </w:pPr>
      <w:r w:rsidRPr="00466A4E">
        <w:rPr>
          <w:rFonts w:ascii="Times New Roman" w:hAnsi="Times New Roman" w:cs="Times New Roman"/>
          <w:sz w:val="28"/>
          <w:szCs w:val="28"/>
        </w:rPr>
        <w:t xml:space="preserve">Таким образом, в результате расчета будет получен годовой объем ИМБТ конкретного поселения при передаче полномочий по ВМФК на уровень муниципального района. </w:t>
      </w:r>
    </w:p>
    <w:sectPr w:rsidR="00466A4E" w:rsidRPr="00466A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64D"/>
    <w:rsid w:val="000F264D"/>
    <w:rsid w:val="00466A4E"/>
    <w:rsid w:val="00654158"/>
    <w:rsid w:val="00FC3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1364</Words>
  <Characters>7776</Characters>
  <Application>Microsoft Office Word</Application>
  <DocSecurity>0</DocSecurity>
  <Lines>64</Lines>
  <Paragraphs>18</Paragraphs>
  <ScaleCrop>false</ScaleCrop>
  <Company/>
  <LinksUpToDate>false</LinksUpToDate>
  <CharactersWithSpaces>9122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2024-11-05T04:07:00Z</dcterms:created>
  <dcterms:modified xsi:type="dcterms:W3CDTF">2024-11-05T04:11:00Z</dcterms:modified>
</cp:coreProperties>
</file>